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3A" w:rsidRDefault="00DE334B">
      <w:pPr>
        <w:pStyle w:val="Title"/>
      </w:pPr>
      <w:r>
        <w:t>PUC Amendment to NEM</w:t>
      </w:r>
    </w:p>
    <w:p w:rsidR="000F533A" w:rsidRDefault="00DE334B" w:rsidP="00DE334B">
      <w:pPr>
        <w:pStyle w:val="Heading1"/>
        <w:numPr>
          <w:ilvl w:val="0"/>
          <w:numId w:val="0"/>
        </w:numPr>
        <w:ind w:left="90"/>
      </w:pPr>
      <w:r>
        <w:t>10/12/2015</w:t>
      </w:r>
    </w:p>
    <w:p w:rsidR="00DE334B" w:rsidRPr="00DE334B" w:rsidRDefault="00DE334B" w:rsidP="00DE334B">
      <w:pPr>
        <w:rPr>
          <w:rFonts w:cs="Arial"/>
        </w:rPr>
      </w:pPr>
      <w:r w:rsidRPr="00DE334B">
        <w:rPr>
          <w:rFonts w:cs="Arial"/>
        </w:rPr>
        <w:t xml:space="preserve">On Oct. 12, 2015, the Hawaii Public Utilities Commission (PUC) amended the Net Energy Metering (NEM) program, and approved two new rooftop PV programs for customers of the Hawaiian Electric Companies.  </w:t>
      </w:r>
      <w:bookmarkStart w:id="0" w:name="_GoBack"/>
      <w:bookmarkEnd w:id="0"/>
    </w:p>
    <w:p w:rsidR="00DE334B" w:rsidRPr="00DE334B" w:rsidRDefault="00DE334B" w:rsidP="00DE334B">
      <w:pPr>
        <w:rPr>
          <w:rFonts w:cs="Arial"/>
          <w:b/>
          <w:bCs/>
        </w:rPr>
      </w:pPr>
      <w:r w:rsidRPr="00DE334B">
        <w:rPr>
          <w:rFonts w:cs="Arial"/>
          <w:b/>
          <w:bCs/>
        </w:rPr>
        <w:t xml:space="preserve">The PUC’s decision created three options for customers:  </w:t>
      </w:r>
    </w:p>
    <w:p w:rsidR="00DE334B" w:rsidRPr="00DE334B" w:rsidRDefault="00DE334B" w:rsidP="00DE334B">
      <w:pPr>
        <w:pStyle w:val="ListParagraph"/>
        <w:numPr>
          <w:ilvl w:val="0"/>
          <w:numId w:val="13"/>
        </w:numPr>
        <w:spacing w:line="252" w:lineRule="auto"/>
        <w:rPr>
          <w:rFonts w:cs="Arial"/>
          <w:sz w:val="24"/>
          <w:szCs w:val="24"/>
        </w:rPr>
      </w:pPr>
      <w:r w:rsidRPr="00DE334B">
        <w:rPr>
          <w:rFonts w:cs="Arial"/>
          <w:b/>
          <w:bCs/>
          <w:sz w:val="24"/>
          <w:szCs w:val="24"/>
        </w:rPr>
        <w:t>“Self-Supply” systems</w:t>
      </w:r>
      <w:r w:rsidRPr="00DE334B">
        <w:rPr>
          <w:rFonts w:cs="Arial"/>
          <w:sz w:val="24"/>
          <w:szCs w:val="24"/>
        </w:rPr>
        <w:t xml:space="preserve"> – The Self-Supply option is for customers who primarily intend to consume all of the energy produced by their solar system onsite at their home or business, and do not need to export excess energy to the grid.</w:t>
      </w:r>
    </w:p>
    <w:p w:rsidR="00DE334B" w:rsidRPr="00DE334B" w:rsidRDefault="00DE334B" w:rsidP="00DE334B">
      <w:pPr>
        <w:pStyle w:val="ListParagraph"/>
        <w:numPr>
          <w:ilvl w:val="0"/>
          <w:numId w:val="13"/>
        </w:numPr>
        <w:spacing w:line="252" w:lineRule="auto"/>
        <w:rPr>
          <w:rFonts w:cs="Arial"/>
          <w:sz w:val="24"/>
          <w:szCs w:val="24"/>
        </w:rPr>
      </w:pPr>
      <w:r w:rsidRPr="00DE334B">
        <w:rPr>
          <w:rFonts w:cs="Arial"/>
          <w:sz w:val="24"/>
          <w:szCs w:val="24"/>
        </w:rPr>
        <w:t>“</w:t>
      </w:r>
      <w:r w:rsidRPr="00DE334B">
        <w:rPr>
          <w:rFonts w:cs="Arial"/>
          <w:b/>
          <w:bCs/>
          <w:sz w:val="24"/>
          <w:szCs w:val="24"/>
        </w:rPr>
        <w:t>Grid-Supply” systems</w:t>
      </w:r>
      <w:r w:rsidRPr="00DE334B">
        <w:rPr>
          <w:rFonts w:cs="Arial"/>
          <w:sz w:val="24"/>
          <w:szCs w:val="24"/>
        </w:rPr>
        <w:t xml:space="preserve"> – The grid-supply option will allow customers to export excess energy to the grid as needed, and customers will receive energy credits on their monthly bills, similar to the NEM program.</w:t>
      </w:r>
    </w:p>
    <w:p w:rsidR="00DE334B" w:rsidRPr="00DE334B" w:rsidRDefault="00DE334B" w:rsidP="00DE334B">
      <w:pPr>
        <w:pStyle w:val="ListParagraph"/>
        <w:numPr>
          <w:ilvl w:val="0"/>
          <w:numId w:val="13"/>
        </w:numPr>
        <w:spacing w:line="252" w:lineRule="auto"/>
        <w:rPr>
          <w:rFonts w:cs="Arial"/>
          <w:sz w:val="24"/>
          <w:szCs w:val="24"/>
        </w:rPr>
      </w:pPr>
      <w:r w:rsidRPr="00DE334B">
        <w:rPr>
          <w:rFonts w:cs="Arial"/>
          <w:b/>
          <w:bCs/>
          <w:sz w:val="24"/>
          <w:szCs w:val="24"/>
        </w:rPr>
        <w:t>“Time-of-Use” tariff</w:t>
      </w:r>
      <w:r w:rsidRPr="00DE334B">
        <w:rPr>
          <w:rFonts w:cs="Arial"/>
          <w:sz w:val="24"/>
          <w:szCs w:val="24"/>
        </w:rPr>
        <w:t xml:space="preserve"> – The Commission has also directed the HECO Companies to develop a new, expanded time-of-use tariff that allows customers to save money by shifting energy demand to the middle of the day to take advantage of lower-cost solar energy.</w:t>
      </w:r>
    </w:p>
    <w:p w:rsidR="00DE334B" w:rsidRPr="00DE334B" w:rsidRDefault="00DE334B" w:rsidP="00DE334B">
      <w:pPr>
        <w:rPr>
          <w:rFonts w:cs="Arial"/>
          <w:sz w:val="24"/>
          <w:szCs w:val="24"/>
        </w:rPr>
      </w:pPr>
      <w:r w:rsidRPr="00DE334B">
        <w:rPr>
          <w:rFonts w:cs="Arial"/>
        </w:rPr>
        <w:t xml:space="preserve">Customers with a current NEM agreement and those with valid pending applications submitted to the Hawaiian Electric Companies submitted by Oct.12, 2015 will continue under the NEM program.  </w:t>
      </w:r>
    </w:p>
    <w:p w:rsidR="00DE334B" w:rsidRPr="00DE334B" w:rsidRDefault="00DE334B" w:rsidP="00DE334B">
      <w:pPr>
        <w:rPr>
          <w:rFonts w:cs="Arial"/>
        </w:rPr>
      </w:pPr>
      <w:r w:rsidRPr="00DE334B">
        <w:rPr>
          <w:rFonts w:cs="Arial"/>
        </w:rPr>
        <w:t xml:space="preserve">For additional information, please visit the PUC website at:  </w:t>
      </w:r>
      <w:hyperlink r:id="rId6" w:history="1">
        <w:r w:rsidRPr="00DE334B">
          <w:rPr>
            <w:rStyle w:val="Hyperlink"/>
            <w:rFonts w:cs="Arial"/>
          </w:rPr>
          <w:t>http://puc.hawaii.gov/</w:t>
        </w:r>
      </w:hyperlink>
    </w:p>
    <w:p w:rsidR="000F533A" w:rsidRDefault="000F533A" w:rsidP="00DE334B"/>
    <w:sectPr w:rsidR="000F53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522" w:hanging="432"/>
      </w:p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1" w15:restartNumberingAfterBreak="0">
    <w:nsid w:val="451C7664"/>
    <w:multiLevelType w:val="hybridMultilevel"/>
    <w:tmpl w:val="47BC4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4B"/>
    <w:rsid w:val="000F533A"/>
    <w:rsid w:val="00DE334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119AA-2464-4334-AF4B-D4FFE16C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DE33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c.hawaii.gov/"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B\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A. Broman</dc:creator>
  <cp:keywords/>
  <cp:lastModifiedBy>Holly A. Broman</cp:lastModifiedBy>
  <cp:revision>1</cp:revision>
  <dcterms:created xsi:type="dcterms:W3CDTF">2015-10-31T03:35:00Z</dcterms:created>
  <dcterms:modified xsi:type="dcterms:W3CDTF">2015-10-31T03:37:00Z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